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606A6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87173F">
        <w:rPr>
          <w:caps/>
          <w:kern w:val="36"/>
          <w:sz w:val="30"/>
          <w:szCs w:val="30"/>
        </w:rPr>
        <w:t>0</w:t>
      </w:r>
      <w:r w:rsidR="0031196E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 xml:space="preserve"> ул. </w:t>
      </w:r>
      <w:proofErr w:type="gramStart"/>
      <w:r w:rsidR="0031196E">
        <w:rPr>
          <w:caps/>
          <w:kern w:val="36"/>
          <w:sz w:val="30"/>
          <w:szCs w:val="30"/>
        </w:rPr>
        <w:t>авангардная</w:t>
      </w:r>
      <w:proofErr w:type="gramEnd"/>
      <w:r w:rsidR="00D70FCE">
        <w:rPr>
          <w:caps/>
          <w:kern w:val="36"/>
          <w:sz w:val="30"/>
          <w:szCs w:val="30"/>
        </w:rPr>
        <w:t xml:space="preserve">, дом </w:t>
      </w:r>
      <w:r w:rsidR="0031196E">
        <w:rPr>
          <w:caps/>
          <w:kern w:val="36"/>
          <w:sz w:val="30"/>
          <w:szCs w:val="30"/>
        </w:rPr>
        <w:t>41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2651397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03F9EEF7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43E97BB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786B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8028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6E6E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4827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793529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F9BC0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70525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D219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EDD86" w14:textId="41D28CB7" w:rsidR="00A22210" w:rsidRPr="00FF2CD7" w:rsidRDefault="00A22210" w:rsidP="007758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00C12">
              <w:rPr>
                <w:sz w:val="23"/>
                <w:szCs w:val="23"/>
              </w:rPr>
              <w:t>2</w:t>
            </w:r>
            <w:r w:rsidR="0077584B">
              <w:rPr>
                <w:sz w:val="23"/>
                <w:szCs w:val="23"/>
              </w:rPr>
              <w:t>6</w:t>
            </w:r>
          </w:p>
        </w:tc>
      </w:tr>
      <w:tr w:rsidR="000A57B6" w:rsidRPr="00FF2CD7" w14:paraId="0F7F6A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9130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C65A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3F37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0AAA5" w14:textId="08EC9CE5" w:rsidR="00A22210" w:rsidRPr="00FF2CD7" w:rsidRDefault="00C00C12" w:rsidP="00862E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77584B">
              <w:rPr>
                <w:sz w:val="23"/>
                <w:szCs w:val="23"/>
              </w:rPr>
              <w:t>5</w:t>
            </w:r>
          </w:p>
        </w:tc>
      </w:tr>
      <w:tr w:rsidR="00C95BAA" w:rsidRPr="00FF2CD7" w14:paraId="25D3A4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6E78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C229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8F0A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5D832" w14:textId="08587DBB" w:rsidR="00A22210" w:rsidRPr="00FF2CD7" w:rsidRDefault="00A22210" w:rsidP="00F35A1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C00C12">
              <w:rPr>
                <w:sz w:val="23"/>
                <w:szCs w:val="23"/>
              </w:rPr>
              <w:t>2</w:t>
            </w:r>
            <w:r w:rsidR="0077584B">
              <w:rPr>
                <w:sz w:val="23"/>
                <w:szCs w:val="23"/>
              </w:rPr>
              <w:t>5</w:t>
            </w:r>
          </w:p>
        </w:tc>
      </w:tr>
      <w:tr w:rsidR="00A22210" w:rsidRPr="00FF2CD7" w14:paraId="0ED10A8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0D390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3F3E11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D1D3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63706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9A09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1CE25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19259D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E33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C0786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982A9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66536" w14:textId="2B58C653" w:rsidR="00196271" w:rsidRPr="00250CBB" w:rsidRDefault="0066543E" w:rsidP="002673A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7584B">
              <w:rPr>
                <w:sz w:val="23"/>
                <w:szCs w:val="23"/>
              </w:rPr>
              <w:t>729061,00</w:t>
            </w:r>
          </w:p>
        </w:tc>
      </w:tr>
      <w:tr w:rsidR="000A57B6" w:rsidRPr="00FF2CD7" w14:paraId="710FAF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9BBE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BAA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103B8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88915" w14:textId="7E623C3D" w:rsidR="00196271" w:rsidRPr="0026761E" w:rsidRDefault="0077584B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729061,00</w:t>
            </w:r>
          </w:p>
        </w:tc>
      </w:tr>
      <w:tr w:rsidR="000A57B6" w:rsidRPr="00FF2CD7" w14:paraId="24CBD4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D64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D11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3FA6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99091" w14:textId="69007118" w:rsidR="00196271" w:rsidRPr="00250CBB" w:rsidRDefault="00B82543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7816815,00</w:t>
            </w:r>
          </w:p>
        </w:tc>
      </w:tr>
      <w:tr w:rsidR="000A57B6" w:rsidRPr="00FF2CD7" w14:paraId="47C5F3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20A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996C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6E593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1E549" w14:textId="2CF909F9" w:rsidR="00196271" w:rsidRPr="00684D58" w:rsidRDefault="00B82543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5907064,00</w:t>
            </w:r>
          </w:p>
        </w:tc>
      </w:tr>
      <w:tr w:rsidR="000A57B6" w:rsidRPr="00FF2CD7" w14:paraId="586CD3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677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60D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35FEC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39089" w14:textId="453DA9F5" w:rsidR="00196271" w:rsidRPr="009D2112" w:rsidRDefault="000D21D2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997623,00</w:t>
            </w:r>
          </w:p>
        </w:tc>
      </w:tr>
      <w:tr w:rsidR="000A57B6" w:rsidRPr="00FF2CD7" w14:paraId="4C6E71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F84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2D69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F39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154C8" w14:textId="7B8C0235" w:rsidR="00196271" w:rsidRPr="009D2112" w:rsidRDefault="000D21D2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912128,00</w:t>
            </w:r>
          </w:p>
        </w:tc>
      </w:tr>
      <w:tr w:rsidR="000A57B6" w:rsidRPr="00FF2CD7" w14:paraId="06C83A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3E9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B02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C56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1326C" w14:textId="42705580" w:rsidR="00196271" w:rsidRPr="00250CBB" w:rsidRDefault="001D6E58" w:rsidP="0077584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26539">
              <w:rPr>
                <w:sz w:val="23"/>
                <w:szCs w:val="23"/>
              </w:rPr>
              <w:t>7721027,00</w:t>
            </w:r>
          </w:p>
        </w:tc>
      </w:tr>
      <w:tr w:rsidR="000A57B6" w:rsidRPr="00FF2CD7" w14:paraId="5A7848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025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E63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426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369A2" w14:textId="0849AC6C" w:rsidR="00196271" w:rsidRPr="00250CBB" w:rsidRDefault="00026539" w:rsidP="00D44AF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7721027,00</w:t>
            </w:r>
          </w:p>
        </w:tc>
      </w:tr>
      <w:tr w:rsidR="000A57B6" w:rsidRPr="00FF2CD7" w14:paraId="48C4A7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683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013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C17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03A99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30972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FEC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2DB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BF2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09AA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1F006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11C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7C4C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54B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9F02F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0A61F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45F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5E5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A141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281B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C5538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0D3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7DA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69B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662B2" w14:textId="0D686A07" w:rsidR="00196271" w:rsidRPr="00250CBB" w:rsidRDefault="00026539" w:rsidP="00D44AF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7721027,00</w:t>
            </w:r>
          </w:p>
        </w:tc>
      </w:tr>
      <w:tr w:rsidR="00C95BAA" w:rsidRPr="00FF2CD7" w14:paraId="610A83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D3C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0E9EC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AB7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DE518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1D2F2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32D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781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10EB0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D2D63" w14:textId="79B84A42" w:rsidR="00196271" w:rsidRPr="00250CBB" w:rsidRDefault="00196271" w:rsidP="0077584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26539">
              <w:rPr>
                <w:sz w:val="23"/>
                <w:szCs w:val="23"/>
              </w:rPr>
              <w:t>824849,00</w:t>
            </w:r>
          </w:p>
        </w:tc>
      </w:tr>
      <w:tr w:rsidR="000A57B6" w:rsidRPr="00FF2CD7" w14:paraId="48A665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73F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4756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95A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FDE0C" w14:textId="2E05BD44" w:rsidR="00196271" w:rsidRPr="00250CBB" w:rsidRDefault="00026539" w:rsidP="00D44AF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824849,00</w:t>
            </w:r>
          </w:p>
        </w:tc>
      </w:tr>
      <w:tr w:rsidR="00196271" w:rsidRPr="00FF2CD7" w14:paraId="753C8A9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7664E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14CAE4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E7F6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B631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487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4CA8A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5DB763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8700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F8B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7B778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67587" w14:textId="2D3A93C6" w:rsidR="00196271" w:rsidRPr="00FF2CD7" w:rsidRDefault="00026539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966323,00</w:t>
            </w:r>
          </w:p>
        </w:tc>
      </w:tr>
      <w:tr w:rsidR="00C95BAA" w:rsidRPr="00FF2CD7" w14:paraId="59F59F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366E7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F9A2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911F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34E75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0CFBC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6647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8582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AE2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4BF67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2D4359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D15B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6DF14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8D4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436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AD6B1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C9C0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B943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1AE44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7279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64252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1B6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AC2C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FC74D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DC1D9" w14:textId="11C92B1B" w:rsidR="00196271" w:rsidRPr="00FF2CD7" w:rsidRDefault="00C50CA9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270CF0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F6E6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BD02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DDE8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EEA3C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090F8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18D5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931E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C543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6BD8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1F6D5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0AD2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FCD1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BEB5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FFF02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3EC9A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89CC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3A15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143AD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DF8C0" w14:textId="00524480" w:rsidR="00C95BAA" w:rsidRPr="00FF2CD7" w:rsidRDefault="00C50CA9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68734C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ADFF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EDC1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D9A8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EB7EF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71DD8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E3A0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51D0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73A0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A305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C829D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DE82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FACF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BF55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01AD7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6BCBB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5610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7350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A73CE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9A85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2F3F01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FDF2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0B3B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C019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61D4D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92DDF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1D962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56E5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5FCB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C791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E263A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3957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A45B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1092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99D5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54DCB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A1C9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78AA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FBCC7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A0565" w14:textId="6BF252BB" w:rsidR="00C95BAA" w:rsidRPr="00FF2CD7" w:rsidRDefault="0099092E" w:rsidP="00C50CA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C50CA9">
              <w:rPr>
                <w:sz w:val="23"/>
                <w:szCs w:val="23"/>
              </w:rPr>
              <w:t>50</w:t>
            </w:r>
          </w:p>
        </w:tc>
      </w:tr>
      <w:tr w:rsidR="00C95BAA" w:rsidRPr="00FF2CD7" w14:paraId="16FABE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6B03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3182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278C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FE6EC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DFC6F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A959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9640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F0D6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2E0F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18BAB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65FB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3F18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5013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6D420D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872F7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8424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3AF1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073D3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82C2A" w14:textId="56D8F5CE" w:rsidR="00C95BAA" w:rsidRPr="00FF2CD7" w:rsidRDefault="00C50CA9" w:rsidP="00C50CA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4023F3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9B503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214B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2C95D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3D6CB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29A06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8FE95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B6AD4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E128A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A3BEE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7C0B2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30105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AF8E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B98D2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2A77F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2DDA40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E8314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74579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0F711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3254A" w14:textId="78012AEE" w:rsidR="000A57B6" w:rsidRPr="00FF2CD7" w:rsidRDefault="00C50CA9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25474A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300C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1DC3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AD2F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D5B5F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67D38E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F9F8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6D22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92E8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4A134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41CB7D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34A3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2313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7B92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76F74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253856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9B95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8482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5ACB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F64BC" w14:textId="195848E2" w:rsidR="00DB5758" w:rsidRPr="00FF2CD7" w:rsidRDefault="00C50CA9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9092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12EC9F3" w14:textId="77777777" w:rsidTr="009103FB">
        <w:trPr>
          <w:trHeight w:val="449"/>
        </w:trPr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E07D1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44A8B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62DD7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984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296C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EBB77" w14:textId="7A87DFFA" w:rsidR="00DB5758" w:rsidRPr="00E648C5" w:rsidRDefault="00481559" w:rsidP="00862E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</w:tr>
      <w:tr w:rsidR="00DB5758" w:rsidRPr="00FF2CD7" w14:paraId="4F4B21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4CB0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EE2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ECE7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2E9AC" w14:textId="160973BF" w:rsidR="00DB5758" w:rsidRPr="00E648C5" w:rsidRDefault="0048155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</w:tr>
      <w:tr w:rsidR="00DB5758" w:rsidRPr="00FF2CD7" w14:paraId="4706E6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E70C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920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D5D1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952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8CB62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BB3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CEC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E86C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8BE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2725F82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B3AA7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05E689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CCD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8F4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207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0B1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C6849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FA28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AD94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F4B1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0B5AF" w14:textId="77777777" w:rsidR="009D2112" w:rsidRPr="00FF2CD7" w:rsidRDefault="009D2112" w:rsidP="009D2112">
            <w:pPr>
              <w:spacing w:line="225" w:lineRule="atLeast"/>
              <w:rPr>
                <w:sz w:val="23"/>
                <w:szCs w:val="23"/>
              </w:rPr>
            </w:pPr>
          </w:p>
          <w:p w14:paraId="45E6A582" w14:textId="6D6F0DEB" w:rsidR="00DB5758" w:rsidRPr="00FF2CD7" w:rsidRDefault="001F0A15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7584B">
              <w:rPr>
                <w:sz w:val="23"/>
                <w:szCs w:val="23"/>
              </w:rPr>
              <w:t>1370807,00</w:t>
            </w:r>
          </w:p>
        </w:tc>
      </w:tr>
      <w:tr w:rsidR="00DB5758" w:rsidRPr="00FF2CD7" w14:paraId="664805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AA6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412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FBA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8D7B4" w14:textId="3CD22939" w:rsidR="00DB5758" w:rsidRPr="000F42CD" w:rsidRDefault="0077584B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1370807,00</w:t>
            </w:r>
          </w:p>
        </w:tc>
      </w:tr>
      <w:tr w:rsidR="00DB5758" w:rsidRPr="00FF2CD7" w14:paraId="1481D5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7763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FDDA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6FAE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425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5BF8C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9BD0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53851" w14:textId="77777777" w:rsidR="00DB5758" w:rsidRDefault="00DB5758" w:rsidP="00F35A1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F35A1D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E4A8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ED5DF" w14:textId="3BE5B7C0" w:rsidR="00DB5758" w:rsidRDefault="001F0A15" w:rsidP="0077584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30EE7">
              <w:rPr>
                <w:sz w:val="23"/>
                <w:szCs w:val="23"/>
              </w:rPr>
              <w:t>2035684,00</w:t>
            </w:r>
          </w:p>
        </w:tc>
      </w:tr>
      <w:tr w:rsidR="00DB5758" w:rsidRPr="00FF2CD7" w14:paraId="36735C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D38F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DF97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7755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D5143" w14:textId="76C70E00" w:rsidR="00DB5758" w:rsidRDefault="00D30EE7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2035684,00</w:t>
            </w:r>
          </w:p>
        </w:tc>
      </w:tr>
      <w:tr w:rsidR="00DB5758" w:rsidRPr="00FF2CD7" w14:paraId="672A9A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4B06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F0DE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F35A1D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5CF4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ED97E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CCE96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A982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BF3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BD0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F39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498E73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BCB5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4F3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EF5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FD0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04AA5F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7110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4D9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1AC8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38D8E" w14:textId="68E7556F" w:rsidR="00DB5758" w:rsidRPr="00FF2CD7" w:rsidRDefault="009D53F1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1035,21</w:t>
            </w:r>
          </w:p>
        </w:tc>
      </w:tr>
      <w:tr w:rsidR="00DB5758" w:rsidRPr="00FF2CD7" w14:paraId="16ECF7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990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252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9D51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1830A" w14:textId="2A76307F" w:rsidR="00DB5758" w:rsidRPr="00FF2CD7" w:rsidRDefault="00026539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5254743,00</w:t>
            </w:r>
          </w:p>
        </w:tc>
      </w:tr>
      <w:tr w:rsidR="00DB5758" w:rsidRPr="00FF2CD7" w14:paraId="2E0E59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902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67C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D8C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F2A80" w14:textId="132F3E1F" w:rsidR="00DB5758" w:rsidRPr="00FF2CD7" w:rsidRDefault="00026539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5060299,00</w:t>
            </w:r>
          </w:p>
        </w:tc>
      </w:tr>
      <w:tr w:rsidR="00DB5758" w:rsidRPr="00FF2CD7" w14:paraId="4DE3CC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6E2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15BA8" w14:textId="418BE459" w:rsidR="00DB5758" w:rsidRPr="00FF2CD7" w:rsidRDefault="00DB5758" w:rsidP="007758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758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6312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82EAE" w14:textId="166EF7C4" w:rsidR="00DB5758" w:rsidRPr="00FF2CD7" w:rsidRDefault="00026539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1023276,00</w:t>
            </w:r>
          </w:p>
        </w:tc>
      </w:tr>
      <w:tr w:rsidR="00DB5758" w:rsidRPr="00FF2CD7" w14:paraId="047018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754C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D2D0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4C58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B76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7ED49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C9E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58DB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AA4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35DA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52737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28BDC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5BA8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0FC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224B6" w14:textId="0DC57418" w:rsidR="00DB5758" w:rsidRPr="00FF2CD7" w:rsidRDefault="009D53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622826,17</w:t>
            </w:r>
          </w:p>
        </w:tc>
      </w:tr>
      <w:tr w:rsidR="00DB5758" w:rsidRPr="00FF2CD7" w14:paraId="3D1B43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8299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0AA1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A60E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4D70F" w14:textId="3A23DF23" w:rsidR="00DB5758" w:rsidRPr="00FF2CD7" w:rsidRDefault="00026539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3122606,00</w:t>
            </w:r>
          </w:p>
        </w:tc>
      </w:tr>
      <w:tr w:rsidR="00DB5758" w:rsidRPr="00FF2CD7" w14:paraId="6FBB06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C32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D9EA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CFA6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F6463" w14:textId="0D341FC1" w:rsidR="00DB5758" w:rsidRPr="00FF2CD7" w:rsidRDefault="0002653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3017745,00</w:t>
            </w:r>
          </w:p>
        </w:tc>
      </w:tr>
      <w:tr w:rsidR="00DB5758" w:rsidRPr="00FF2CD7" w14:paraId="2B8E43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542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283D5" w14:textId="331CE3EC" w:rsidR="00DB5758" w:rsidRPr="00FF2CD7" w:rsidRDefault="00DB5758" w:rsidP="00862E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758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845B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848D1" w14:textId="23B2E105" w:rsidR="00DB5758" w:rsidRPr="00FF2CD7" w:rsidRDefault="00026539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357545,00</w:t>
            </w:r>
          </w:p>
        </w:tc>
      </w:tr>
      <w:tr w:rsidR="00DB5758" w:rsidRPr="00FF2CD7" w14:paraId="30F9F20B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7F45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505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D11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178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6594B7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754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3AD2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62B1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042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A4E94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C7F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4C10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D959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175BD" w14:textId="6B037E5B" w:rsidR="00DB5758" w:rsidRPr="00FF2CD7" w:rsidRDefault="009D53F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30567,22</w:t>
            </w:r>
          </w:p>
        </w:tc>
      </w:tr>
      <w:tr w:rsidR="00DB5758" w:rsidRPr="00FF2CD7" w14:paraId="31FD1E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6E3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1042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82CC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B5A88" w14:textId="206F2F3F" w:rsidR="00DB5758" w:rsidRPr="00FF2CD7" w:rsidRDefault="0002653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1281356,00</w:t>
            </w:r>
          </w:p>
        </w:tc>
      </w:tr>
      <w:tr w:rsidR="00DB5758" w:rsidRPr="00FF2CD7" w14:paraId="0DA31A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887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BE6E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6C3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72CEB" w14:textId="647440BA" w:rsidR="00DB5758" w:rsidRPr="00FF2CD7" w:rsidRDefault="00026539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1173796,00</w:t>
            </w:r>
          </w:p>
        </w:tc>
      </w:tr>
      <w:tr w:rsidR="00DB5758" w:rsidRPr="00FF2CD7" w14:paraId="539DE3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40B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73E97" w14:textId="72D734CB" w:rsidR="00DB5758" w:rsidRPr="00FF2CD7" w:rsidRDefault="00DB5758" w:rsidP="007758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610FB">
              <w:rPr>
                <w:sz w:val="23"/>
                <w:szCs w:val="23"/>
              </w:rPr>
              <w:t xml:space="preserve"> на 01.01.202</w:t>
            </w:r>
            <w:r w:rsidR="007758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9122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A4034" w14:textId="5AE40C4A" w:rsidR="00DB5758" w:rsidRPr="00FF2CD7" w:rsidRDefault="00026539" w:rsidP="006C2A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201291,00</w:t>
            </w:r>
          </w:p>
        </w:tc>
      </w:tr>
      <w:tr w:rsidR="00C37171" w:rsidRPr="00FF2CD7" w14:paraId="3C388D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04E5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982F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336F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19D9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4D554F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98B4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0765D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98C46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7460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18BC0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427B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476A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83F48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06E7E" w14:textId="00134766" w:rsidR="00C37171" w:rsidRPr="00FF2CD7" w:rsidRDefault="009D53F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11230,78</w:t>
            </w:r>
          </w:p>
        </w:tc>
      </w:tr>
      <w:tr w:rsidR="00C37171" w:rsidRPr="00FF2CD7" w14:paraId="57B8F4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88BD8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9A446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00439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9EBCAD" w14:textId="79B86239" w:rsidR="00C37171" w:rsidRPr="00FF2CD7" w:rsidRDefault="00026539" w:rsidP="00A36C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2229435,00</w:t>
            </w:r>
          </w:p>
        </w:tc>
      </w:tr>
      <w:tr w:rsidR="00C37171" w:rsidRPr="00FF2CD7" w14:paraId="78DF94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E0F7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44AE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A77B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0057F" w14:textId="319D21C3" w:rsidR="00C37171" w:rsidRPr="00FF2CD7" w:rsidRDefault="00026539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2039202,00</w:t>
            </w:r>
          </w:p>
        </w:tc>
      </w:tr>
      <w:tr w:rsidR="00C37171" w:rsidRPr="00FF2CD7" w14:paraId="7FA3E9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A476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1837F" w14:textId="40FED403" w:rsidR="00C37171" w:rsidRPr="00FF2CD7" w:rsidRDefault="00C37171" w:rsidP="007758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758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E738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209EF" w14:textId="6A195990" w:rsidR="00C37171" w:rsidRPr="00FF2CD7" w:rsidRDefault="00026539" w:rsidP="00D30EE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31271</w:t>
            </w:r>
            <w:r w:rsidR="00D30EE7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295333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6E98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AA8C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8C87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004C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579BE2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9029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434F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0BBE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4598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854C6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9440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424D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6844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D83C4" w14:textId="7EA6BB8A" w:rsidR="00C37171" w:rsidRPr="00FF2CD7" w:rsidRDefault="009D53F1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41798,00</w:t>
            </w:r>
            <w:bookmarkStart w:id="0" w:name="_GoBack"/>
            <w:bookmarkEnd w:id="0"/>
          </w:p>
        </w:tc>
      </w:tr>
      <w:tr w:rsidR="00C37171" w:rsidRPr="00FF2CD7" w14:paraId="62CE66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5789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0D4D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1D94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85F58" w14:textId="4DC30D47" w:rsidR="00C37171" w:rsidRPr="00FF2CD7" w:rsidRDefault="00026539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1000219,00</w:t>
            </w:r>
          </w:p>
        </w:tc>
      </w:tr>
      <w:tr w:rsidR="00C37171" w:rsidRPr="00FF2CD7" w14:paraId="7D2884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CF51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3266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44BD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DCFC6" w14:textId="4EE13D86" w:rsidR="00C37171" w:rsidRPr="00FF2CD7" w:rsidRDefault="00026539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932440,00</w:t>
            </w:r>
          </w:p>
        </w:tc>
      </w:tr>
      <w:tr w:rsidR="00C37171" w:rsidRPr="00FF2CD7" w14:paraId="2385D5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1A96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BC2D6" w14:textId="3E47733F" w:rsidR="00C37171" w:rsidRPr="00FF2CD7" w:rsidRDefault="00C37171" w:rsidP="007758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758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E41F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6743C" w14:textId="32022AA0" w:rsidR="00C37171" w:rsidRPr="00FF2CD7" w:rsidRDefault="0002653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140853,00</w:t>
            </w:r>
          </w:p>
        </w:tc>
      </w:tr>
      <w:tr w:rsidR="00C37171" w:rsidRPr="00FF2CD7" w14:paraId="3F41A3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7CF3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4941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1476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C7A6F" w14:textId="182A1A03" w:rsidR="00C37171" w:rsidRPr="00FF2CD7" w:rsidRDefault="00026539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12888359,00</w:t>
            </w:r>
          </w:p>
        </w:tc>
      </w:tr>
      <w:tr w:rsidR="00C37171" w:rsidRPr="00FF2CD7" w14:paraId="35F665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CFD2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9009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93E0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D9F56" w14:textId="75C95C41" w:rsidR="00C37171" w:rsidRPr="00FF2CD7" w:rsidRDefault="00D30EE7" w:rsidP="00D160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12223482,00</w:t>
            </w:r>
          </w:p>
        </w:tc>
      </w:tr>
      <w:tr w:rsidR="00C37171" w:rsidRPr="00FF2CD7" w14:paraId="0DB0E9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D255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E5D4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D9BD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FD37B" w14:textId="1AEF43C3" w:rsidR="00C37171" w:rsidRPr="00FF2CD7" w:rsidRDefault="00D30EE7" w:rsidP="00D30EE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2035684,00</w:t>
            </w:r>
          </w:p>
        </w:tc>
      </w:tr>
      <w:tr w:rsidR="00C37171" w:rsidRPr="00FF2CD7" w14:paraId="4EC83F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7432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91B6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CC9C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6D50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03B6D73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C4097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55CF17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C3F1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C24F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34E5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0DF9A" w14:textId="29BD36D1" w:rsidR="00C37171" w:rsidRPr="00DC16F3" w:rsidRDefault="0048155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44E84B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7DE7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EC7B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05F5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67EBA" w14:textId="099C1108" w:rsidR="00C37171" w:rsidRPr="00DC16F3" w:rsidRDefault="0048155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0A1FBB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92AF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11CD8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06635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D324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69282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107B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288D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7ABB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46E9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0C713B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AE95A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7CB468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CFED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88A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4328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42536" w14:textId="42A9705C" w:rsidR="00C37171" w:rsidRPr="001C3014" w:rsidRDefault="0002653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333D77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F4A3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F156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48F5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CF485" w14:textId="79483F7A" w:rsidR="00C37171" w:rsidRPr="001C3014" w:rsidRDefault="0002653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75B67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758E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BA1FE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24698" w14:textId="77777777" w:rsidR="00C37171" w:rsidRPr="00BD774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BD774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B0D55" w14:textId="63B82527" w:rsidR="00C37171" w:rsidRPr="00BD7747" w:rsidRDefault="0002653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488EEF2A" w14:textId="77777777" w:rsidR="00A22210" w:rsidRPr="00FF2CD7" w:rsidRDefault="00A22210"/>
    <w:p w14:paraId="2E7A0A3B" w14:textId="77777777" w:rsidR="00A22210" w:rsidRPr="00FF2CD7" w:rsidRDefault="00A22210"/>
    <w:p w14:paraId="1AE74976" w14:textId="77777777" w:rsidR="00A22210" w:rsidRPr="00FF2CD7" w:rsidRDefault="00A22210"/>
    <w:p w14:paraId="35F9E70B" w14:textId="77777777" w:rsidR="00A22210" w:rsidRPr="00FF2CD7" w:rsidRDefault="00A22210"/>
    <w:p w14:paraId="4F216D28" w14:textId="77777777" w:rsidR="00A22210" w:rsidRPr="00FF2CD7" w:rsidRDefault="00A22210"/>
    <w:p w14:paraId="50658167" w14:textId="77777777" w:rsidR="00A22210" w:rsidRPr="00FF2CD7" w:rsidRDefault="00A22210"/>
    <w:p w14:paraId="61223F82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787"/>
    <w:rsid w:val="00002FC1"/>
    <w:rsid w:val="0001005F"/>
    <w:rsid w:val="00026539"/>
    <w:rsid w:val="00045E14"/>
    <w:rsid w:val="00061E6A"/>
    <w:rsid w:val="000733D2"/>
    <w:rsid w:val="000773CF"/>
    <w:rsid w:val="000A3292"/>
    <w:rsid w:val="000A545B"/>
    <w:rsid w:val="000A57B6"/>
    <w:rsid w:val="000B1B2B"/>
    <w:rsid w:val="000C40B9"/>
    <w:rsid w:val="000D21D2"/>
    <w:rsid w:val="000D599B"/>
    <w:rsid w:val="000E2919"/>
    <w:rsid w:val="000F42CD"/>
    <w:rsid w:val="000F4473"/>
    <w:rsid w:val="001067E0"/>
    <w:rsid w:val="001108D2"/>
    <w:rsid w:val="00181750"/>
    <w:rsid w:val="0019439E"/>
    <w:rsid w:val="00196271"/>
    <w:rsid w:val="001C3014"/>
    <w:rsid w:val="001D39F5"/>
    <w:rsid w:val="001D6E58"/>
    <w:rsid w:val="001F0A15"/>
    <w:rsid w:val="001F4B62"/>
    <w:rsid w:val="001F700A"/>
    <w:rsid w:val="00212E69"/>
    <w:rsid w:val="00214D3E"/>
    <w:rsid w:val="002371D0"/>
    <w:rsid w:val="00246DCD"/>
    <w:rsid w:val="00250CBB"/>
    <w:rsid w:val="002630DD"/>
    <w:rsid w:val="002673A8"/>
    <w:rsid w:val="0026761E"/>
    <w:rsid w:val="002702D1"/>
    <w:rsid w:val="002B4F14"/>
    <w:rsid w:val="003008BA"/>
    <w:rsid w:val="0031196E"/>
    <w:rsid w:val="00331DA7"/>
    <w:rsid w:val="003A0F9F"/>
    <w:rsid w:val="003B27AF"/>
    <w:rsid w:val="003B3330"/>
    <w:rsid w:val="003B407B"/>
    <w:rsid w:val="003F57CB"/>
    <w:rsid w:val="003F6019"/>
    <w:rsid w:val="003F62E2"/>
    <w:rsid w:val="00434D6F"/>
    <w:rsid w:val="00462E06"/>
    <w:rsid w:val="00463BD5"/>
    <w:rsid w:val="00464D74"/>
    <w:rsid w:val="00475304"/>
    <w:rsid w:val="00477A8B"/>
    <w:rsid w:val="00481559"/>
    <w:rsid w:val="00484178"/>
    <w:rsid w:val="00484B13"/>
    <w:rsid w:val="004A29B5"/>
    <w:rsid w:val="004B68DE"/>
    <w:rsid w:val="004C03BC"/>
    <w:rsid w:val="0053115C"/>
    <w:rsid w:val="00546D1D"/>
    <w:rsid w:val="0056569B"/>
    <w:rsid w:val="00567426"/>
    <w:rsid w:val="005914E6"/>
    <w:rsid w:val="005920E5"/>
    <w:rsid w:val="005C7DFD"/>
    <w:rsid w:val="005E111E"/>
    <w:rsid w:val="005E3553"/>
    <w:rsid w:val="005F28BF"/>
    <w:rsid w:val="0062775C"/>
    <w:rsid w:val="00636862"/>
    <w:rsid w:val="0066543E"/>
    <w:rsid w:val="00684D58"/>
    <w:rsid w:val="006B0FCC"/>
    <w:rsid w:val="006B45B0"/>
    <w:rsid w:val="006B4C86"/>
    <w:rsid w:val="006C2AD7"/>
    <w:rsid w:val="006C3CA2"/>
    <w:rsid w:val="006C6A9C"/>
    <w:rsid w:val="00704378"/>
    <w:rsid w:val="007121A1"/>
    <w:rsid w:val="00721299"/>
    <w:rsid w:val="0077584B"/>
    <w:rsid w:val="00811524"/>
    <w:rsid w:val="0081422D"/>
    <w:rsid w:val="00817D7A"/>
    <w:rsid w:val="00846793"/>
    <w:rsid w:val="00862E60"/>
    <w:rsid w:val="0087173F"/>
    <w:rsid w:val="008775F5"/>
    <w:rsid w:val="00893052"/>
    <w:rsid w:val="008B1A3A"/>
    <w:rsid w:val="008C6DA4"/>
    <w:rsid w:val="008F0CF2"/>
    <w:rsid w:val="009103FB"/>
    <w:rsid w:val="00956AF0"/>
    <w:rsid w:val="009821BA"/>
    <w:rsid w:val="0098229A"/>
    <w:rsid w:val="00986357"/>
    <w:rsid w:val="009864D7"/>
    <w:rsid w:val="0099092E"/>
    <w:rsid w:val="009A533E"/>
    <w:rsid w:val="009B0FD7"/>
    <w:rsid w:val="009D2112"/>
    <w:rsid w:val="009D53F1"/>
    <w:rsid w:val="00A106C3"/>
    <w:rsid w:val="00A22210"/>
    <w:rsid w:val="00A24E7F"/>
    <w:rsid w:val="00A36CD7"/>
    <w:rsid w:val="00A40D9B"/>
    <w:rsid w:val="00A43176"/>
    <w:rsid w:val="00A44145"/>
    <w:rsid w:val="00A84C41"/>
    <w:rsid w:val="00A876D3"/>
    <w:rsid w:val="00AE05B2"/>
    <w:rsid w:val="00AF141D"/>
    <w:rsid w:val="00B27658"/>
    <w:rsid w:val="00B3707C"/>
    <w:rsid w:val="00B51B52"/>
    <w:rsid w:val="00B5310E"/>
    <w:rsid w:val="00B559D1"/>
    <w:rsid w:val="00B72A5E"/>
    <w:rsid w:val="00B82543"/>
    <w:rsid w:val="00BB5157"/>
    <w:rsid w:val="00BC5AEC"/>
    <w:rsid w:val="00BD6734"/>
    <w:rsid w:val="00BD7088"/>
    <w:rsid w:val="00BD7747"/>
    <w:rsid w:val="00BE49C5"/>
    <w:rsid w:val="00BF2ECA"/>
    <w:rsid w:val="00C00C12"/>
    <w:rsid w:val="00C37171"/>
    <w:rsid w:val="00C50CA9"/>
    <w:rsid w:val="00C51493"/>
    <w:rsid w:val="00C95BAA"/>
    <w:rsid w:val="00D16065"/>
    <w:rsid w:val="00D30EE7"/>
    <w:rsid w:val="00D31FFF"/>
    <w:rsid w:val="00D44AFF"/>
    <w:rsid w:val="00D55E98"/>
    <w:rsid w:val="00D6061B"/>
    <w:rsid w:val="00D70FCE"/>
    <w:rsid w:val="00D969EC"/>
    <w:rsid w:val="00DA6476"/>
    <w:rsid w:val="00DB3697"/>
    <w:rsid w:val="00DB5758"/>
    <w:rsid w:val="00DC16F3"/>
    <w:rsid w:val="00DE3502"/>
    <w:rsid w:val="00DE6427"/>
    <w:rsid w:val="00DF4FB5"/>
    <w:rsid w:val="00E108AF"/>
    <w:rsid w:val="00E10DF8"/>
    <w:rsid w:val="00E40F6E"/>
    <w:rsid w:val="00E610FB"/>
    <w:rsid w:val="00E648C5"/>
    <w:rsid w:val="00E9417D"/>
    <w:rsid w:val="00E9421F"/>
    <w:rsid w:val="00EC54FD"/>
    <w:rsid w:val="00ED392D"/>
    <w:rsid w:val="00ED550A"/>
    <w:rsid w:val="00F05AD9"/>
    <w:rsid w:val="00F077D0"/>
    <w:rsid w:val="00F35A1D"/>
    <w:rsid w:val="00F574BE"/>
    <w:rsid w:val="00F640A8"/>
    <w:rsid w:val="00F921BD"/>
    <w:rsid w:val="00F950FE"/>
    <w:rsid w:val="00FA400A"/>
    <w:rsid w:val="00FB3F69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2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105</cp:revision>
  <cp:lastPrinted>2018-07-05T10:46:00Z</cp:lastPrinted>
  <dcterms:created xsi:type="dcterms:W3CDTF">2015-03-15T18:17:00Z</dcterms:created>
  <dcterms:modified xsi:type="dcterms:W3CDTF">2026-02-25T07:21:00Z</dcterms:modified>
</cp:coreProperties>
</file>